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高等学校物理实验课程教学研究项目</w:t>
      </w:r>
    </w:p>
    <w:p>
      <w:pPr>
        <w:spacing w:line="480" w:lineRule="auto"/>
        <w:jc w:val="center"/>
        <w:rPr>
          <w:rFonts w:hint="eastAsia"/>
          <w:szCs w:val="21"/>
        </w:rPr>
      </w:pPr>
    </w:p>
    <w:p>
      <w:pPr>
        <w:spacing w:line="480" w:lineRule="auto"/>
        <w:jc w:val="center"/>
        <w:rPr>
          <w:rFonts w:hint="eastAsia" w:ascii="黑体" w:eastAsia="黑体"/>
          <w:bCs/>
          <w:spacing w:val="-50"/>
          <w:sz w:val="84"/>
          <w:szCs w:val="84"/>
        </w:rPr>
      </w:pPr>
      <w:r>
        <w:rPr>
          <w:rFonts w:hint="eastAsia" w:ascii="黑体" w:eastAsia="黑体"/>
          <w:bCs/>
          <w:spacing w:val="-50"/>
          <w:sz w:val="84"/>
          <w:szCs w:val="84"/>
        </w:rPr>
        <w:t>中 期 检 查 报 告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right="924" w:rightChars="440" w:firstLine="960" w:firstLineChars="300"/>
        <w:rPr>
          <w:rFonts w:hint="eastAsia" w:ascii="仿宋_GB2312" w:eastAsia="仿宋_GB2312"/>
          <w:sz w:val="32"/>
          <w:u w:val="single"/>
        </w:rPr>
      </w:pPr>
      <w:r>
        <w:rPr>
          <w:rFonts w:hint="eastAsia" w:ascii="仿宋_GB2312" w:eastAsia="仿宋_GB2312"/>
          <w:sz w:val="32"/>
        </w:rPr>
        <w:t>项 目 编 号</w:t>
      </w:r>
      <w:r>
        <w:rPr>
          <w:rFonts w:hint="eastAsia" w:ascii="仿宋_GB2312" w:eastAsia="仿宋_GB2312"/>
          <w:sz w:val="32"/>
          <w:u w:val="single"/>
        </w:rPr>
        <w:t xml:space="preserve">         </w:t>
      </w:r>
      <w:r>
        <w:rPr>
          <w:rFonts w:hint="eastAsia" w:ascii="仿宋_GB2312" w:eastAsia="仿宋_GB2312"/>
          <w:sz w:val="28"/>
          <w:szCs w:val="28"/>
          <w:u w:val="single"/>
        </w:rPr>
        <w:t>01-201601-0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32"/>
          <w:u w:val="single"/>
        </w:rPr>
        <w:t xml:space="preserve">                 </w:t>
      </w:r>
    </w:p>
    <w:p>
      <w:pPr>
        <w:ind w:left="2857" w:leftChars="457" w:right="924" w:rightChars="440" w:hanging="1897" w:hangingChars="593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32"/>
        </w:rPr>
        <w:t>项 目 名 称</w:t>
      </w:r>
      <w:r>
        <w:rPr>
          <w:rFonts w:hint="eastAsia" w:ascii="仿宋_GB2312" w:eastAsia="仿宋_GB2312"/>
          <w:sz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>物理实验课前预习的MOOC教学探讨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</w:p>
    <w:p>
      <w:pPr>
        <w:ind w:right="924" w:rightChars="440" w:firstLine="960" w:firstLineChars="300"/>
        <w:rPr>
          <w:rFonts w:hint="eastAsia" w:ascii="仿宋_GB2312" w:eastAsia="仿宋_GB2312"/>
          <w:sz w:val="32"/>
          <w:u w:val="single"/>
        </w:rPr>
      </w:pPr>
      <w:r>
        <w:rPr>
          <w:rFonts w:hint="eastAsia" w:ascii="仿宋_GB2312" w:eastAsia="仿宋_GB2312"/>
          <w:sz w:val="32"/>
        </w:rPr>
        <w:t>完 成 单 位</w:t>
      </w:r>
      <w:r>
        <w:rPr>
          <w:rFonts w:hint="eastAsia" w:ascii="仿宋_GB2312" w:eastAsia="仿宋_GB2312"/>
          <w:sz w:val="32"/>
          <w:u w:val="single"/>
        </w:rPr>
        <w:t xml:space="preserve">        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西安交通大学</w:t>
      </w:r>
      <w:r>
        <w:rPr>
          <w:rFonts w:hint="eastAsia" w:ascii="仿宋_GB2312" w:eastAsia="仿宋_GB2312"/>
          <w:sz w:val="32"/>
          <w:u w:val="single"/>
        </w:rPr>
        <w:t xml:space="preserve">            </w:t>
      </w:r>
    </w:p>
    <w:p>
      <w:pPr>
        <w:ind w:right="924" w:rightChars="440" w:firstLine="960" w:firstLineChars="300"/>
        <w:rPr>
          <w:rFonts w:hint="eastAsia" w:ascii="仿宋_GB2312" w:eastAsia="仿宋_GB2312"/>
          <w:sz w:val="32"/>
          <w:u w:val="single"/>
        </w:rPr>
      </w:pPr>
      <w:r>
        <w:rPr>
          <w:rFonts w:hint="eastAsia" w:ascii="仿宋_GB2312" w:eastAsia="仿宋_GB2312"/>
          <w:sz w:val="32"/>
        </w:rPr>
        <w:t>实 施 时 间</w:t>
      </w:r>
      <w:r>
        <w:rPr>
          <w:rFonts w:hint="eastAsia" w:ascii="仿宋_GB2312" w:eastAsia="仿宋_GB2312"/>
          <w:sz w:val="32"/>
          <w:u w:val="single"/>
        </w:rPr>
        <w:t xml:space="preserve">       2016.08-201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8</w:t>
      </w:r>
      <w:r>
        <w:rPr>
          <w:rFonts w:hint="eastAsia" w:ascii="仿宋_GB2312" w:eastAsia="仿宋_GB2312"/>
          <w:sz w:val="32"/>
          <w:u w:val="single"/>
        </w:rPr>
        <w:t xml:space="preserve">.08           </w:t>
      </w:r>
    </w:p>
    <w:p>
      <w:pPr>
        <w:ind w:left="144" w:right="924" w:rightChars="440" w:firstLine="810" w:firstLineChars="219"/>
        <w:rPr>
          <w:rFonts w:hint="eastAsia" w:ascii="仿宋_GB2312" w:eastAsia="仿宋_GB2312"/>
          <w:spacing w:val="40"/>
          <w:sz w:val="32"/>
          <w:u w:val="single"/>
        </w:rPr>
      </w:pPr>
      <w:r>
        <w:rPr>
          <w:rFonts w:hint="eastAsia" w:ascii="仿宋_GB2312" w:eastAsia="仿宋_GB2312"/>
          <w:spacing w:val="25"/>
          <w:sz w:val="32"/>
        </w:rPr>
        <w:t>项目负责人</w:t>
      </w:r>
      <w:r>
        <w:rPr>
          <w:rFonts w:hint="eastAsia" w:ascii="仿宋_GB2312" w:eastAsia="仿宋_GB2312"/>
          <w:spacing w:val="40"/>
          <w:sz w:val="32"/>
          <w:u w:val="single"/>
        </w:rPr>
        <w:t xml:space="preserve">     </w:t>
      </w:r>
      <w:r>
        <w:rPr>
          <w:rFonts w:hint="eastAsia" w:ascii="仿宋_GB2312" w:eastAsia="仿宋_GB2312"/>
          <w:spacing w:val="40"/>
          <w:sz w:val="32"/>
          <w:u w:val="single"/>
          <w:lang w:val="en-US" w:eastAsia="zh-CN"/>
        </w:rPr>
        <w:t>王雪冬</w:t>
      </w:r>
      <w:r>
        <w:rPr>
          <w:rFonts w:hint="eastAsia" w:ascii="仿宋_GB2312" w:eastAsia="仿宋_GB2312"/>
          <w:spacing w:val="40"/>
          <w:sz w:val="32"/>
          <w:u w:val="single"/>
        </w:rPr>
        <w:t xml:space="preserve">             </w:t>
      </w:r>
    </w:p>
    <w:p>
      <w:pPr>
        <w:ind w:left="144" w:right="924" w:rightChars="440" w:firstLine="810" w:firstLineChars="219"/>
        <w:rPr>
          <w:rFonts w:hint="eastAsia" w:ascii="仿宋_GB2312" w:eastAsia="仿宋_GB2312"/>
          <w:spacing w:val="40"/>
          <w:sz w:val="32"/>
          <w:u w:val="single"/>
        </w:rPr>
      </w:pPr>
      <w:r>
        <w:rPr>
          <w:rFonts w:hint="eastAsia" w:ascii="仿宋_GB2312" w:eastAsia="仿宋_GB2312"/>
          <w:spacing w:val="25"/>
          <w:sz w:val="32"/>
        </w:rPr>
        <w:t>项目组成员</w:t>
      </w:r>
      <w:r>
        <w:rPr>
          <w:rFonts w:hint="eastAsia" w:ascii="仿宋_GB2312" w:eastAsia="仿宋_GB2312"/>
          <w:spacing w:val="25"/>
          <w:sz w:val="32"/>
          <w:u w:val="single"/>
        </w:rPr>
        <w:t xml:space="preserve"> </w:t>
      </w:r>
      <w:r>
        <w:rPr>
          <w:rFonts w:hint="eastAsia" w:ascii="仿宋_GB2312" w:eastAsia="仿宋_GB2312"/>
          <w:spacing w:val="25"/>
          <w:sz w:val="32"/>
          <w:u w:val="single"/>
          <w:lang w:val="en-US" w:eastAsia="zh-CN"/>
        </w:rPr>
        <w:t>王红理 刘萍 张俊武 冯宇</w:t>
      </w:r>
      <w:r>
        <w:rPr>
          <w:rFonts w:hint="eastAsia" w:ascii="仿宋_GB2312" w:eastAsia="仿宋_GB2312"/>
          <w:kern w:val="0"/>
          <w:sz w:val="28"/>
          <w:szCs w:val="28"/>
          <w:u w:val="single"/>
        </w:rPr>
        <w:t xml:space="preserve">        </w:t>
      </w:r>
    </w:p>
    <w:p>
      <w:pPr>
        <w:ind w:right="924" w:rightChars="440" w:firstLine="960" w:firstLineChars="300"/>
        <w:rPr>
          <w:rFonts w:hint="eastAsia" w:ascii="仿宋_GB2312" w:eastAsia="仿宋_GB2312"/>
          <w:sz w:val="32"/>
          <w:u w:val="single"/>
        </w:rPr>
      </w:pPr>
      <w:r>
        <w:rPr>
          <w:rFonts w:hint="eastAsia" w:ascii="仿宋_GB2312" w:eastAsia="仿宋_GB2312"/>
          <w:sz w:val="32"/>
        </w:rPr>
        <w:t>填 报 时 间</w:t>
      </w:r>
      <w:r>
        <w:rPr>
          <w:rFonts w:hint="eastAsia" w:ascii="仿宋_GB2312" w:eastAsia="仿宋_GB2312"/>
          <w:sz w:val="32"/>
          <w:u w:val="single"/>
        </w:rPr>
        <w:t xml:space="preserve">         2017.0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7</w:t>
      </w:r>
      <w:r>
        <w:rPr>
          <w:rFonts w:hint="eastAsia" w:ascii="仿宋_GB2312" w:eastAsia="仿宋_GB2312"/>
          <w:sz w:val="32"/>
          <w:u w:val="single"/>
        </w:rPr>
        <w:t>.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05</w:t>
      </w:r>
      <w:r>
        <w:rPr>
          <w:rFonts w:hint="eastAsia" w:ascii="仿宋_GB2312" w:eastAsia="仿宋_GB2312"/>
          <w:sz w:val="32"/>
          <w:u w:val="single"/>
        </w:rPr>
        <w:t xml:space="preserve">           </w:t>
      </w:r>
    </w:p>
    <w:p>
      <w:pPr>
        <w:rPr>
          <w:rFonts w:hint="eastAsia"/>
          <w:sz w:val="52"/>
          <w:szCs w:val="5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312" w:beforeLines="100" w:after="312" w:afterLines="100"/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目     录</w:t>
      </w:r>
    </w:p>
    <w:p>
      <w:pPr>
        <w:numPr>
          <w:ilvl w:val="0"/>
          <w:numId w:val="1"/>
        </w:numPr>
        <w:tabs>
          <w:tab w:val="left" w:pos="2520"/>
        </w:tabs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研究工作进展情况…………………………………………………1</w:t>
      </w:r>
    </w:p>
    <w:p>
      <w:pPr>
        <w:numPr>
          <w:ilvl w:val="0"/>
          <w:numId w:val="1"/>
        </w:numPr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已取得的阶段研究成果及应用评价………………………………3</w:t>
      </w:r>
    </w:p>
    <w:p>
      <w:pPr>
        <w:numPr>
          <w:ilvl w:val="0"/>
          <w:numId w:val="1"/>
        </w:numPr>
        <w:rPr>
          <w:rFonts w:hint="eastAsia" w:ascii="宋体" w:hAnsi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kern w:val="0"/>
          <w:sz w:val="28"/>
          <w:szCs w:val="28"/>
        </w:rPr>
        <w:t>经费使用情况………………………………………………………3</w:t>
      </w:r>
    </w:p>
    <w:p>
      <w:pPr>
        <w:numPr>
          <w:ilvl w:val="0"/>
          <w:numId w:val="1"/>
        </w:numPr>
        <w:rPr>
          <w:rFonts w:ascii="宋体" w:hAnsi="宋体"/>
          <w:color w:val="000000"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color w:val="000000"/>
          <w:kern w:val="0"/>
          <w:sz w:val="28"/>
          <w:szCs w:val="28"/>
        </w:rPr>
        <w:t>存在的问题与下一步的工作计划…………………………………3</w:t>
      </w:r>
    </w:p>
    <w:tbl>
      <w:tblPr>
        <w:tblStyle w:val="6"/>
        <w:tblpPr w:leftFromText="180" w:rightFromText="180" w:vertAnchor="page" w:horzAnchor="margin" w:tblpY="144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8" w:hRule="atLeast"/>
        </w:trPr>
        <w:tc>
          <w:tcPr>
            <w:tcW w:w="8522" w:type="dxa"/>
            <w:shd w:val="clear" w:color="auto" w:fill="auto"/>
            <w:vAlign w:val="top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  <w:t>一、研究工作进展情况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本项目的工作是在原有基础上进行的，早在2016年3月，由于我校教学需要，根据多年教学经验和实验仪器可视化效果，我们初步制作完成了两个微课（“如何调整分光计”和“示波器的基本使用”）的拍摄工作，并已经上传至我校大学物理教学实验中心网站，在2016年申请到该项目后，在同年年底经过完善，重新编辑制作了“如何调整分光计”微课，完善后的微课已经上传至本实验中心网站</w:t>
            </w:r>
            <w:bookmarkStart w:id="0" w:name="_GoBack"/>
            <w:bookmarkEnd w:id="0"/>
            <w:r>
              <w:rPr>
                <w:rFonts w:hint="eastAsia"/>
                <w:sz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此外，正在构思和搜集并撰写其他实验的微课资料。计划利用2017年暑假，至少完成一个实验课前预习的微课制作。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正在撰写相关内容的教学论文一篇。同时也在构思和搜集并撰写其他实验的微课资料。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eastAsia="宋体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400" w:lineRule="exact"/>
              <w:ind w:firstLine="420" w:firstLineChars="20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7" w:hRule="atLeast"/>
        </w:trPr>
        <w:tc>
          <w:tcPr>
            <w:tcW w:w="8522" w:type="dxa"/>
            <w:shd w:val="clear" w:color="auto" w:fill="auto"/>
            <w:vAlign w:val="top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  <w:t>二、已取得的阶段研究成果和应用评价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1. </w:t>
            </w:r>
            <w:r>
              <w:rPr>
                <w:rFonts w:hint="eastAsia"/>
                <w:sz w:val="24"/>
                <w:lang w:val="en-US" w:eastAsia="zh-CN"/>
              </w:rPr>
              <w:t>已经制作完成了两个视频：“示波器的基本使用”和</w:t>
            </w:r>
            <w:r>
              <w:rPr>
                <w:rFonts w:hint="eastAsia"/>
                <w:sz w:val="24"/>
                <w:lang w:eastAsia="zh-CN"/>
              </w:rPr>
              <w:t>“</w:t>
            </w:r>
            <w:r>
              <w:rPr>
                <w:rFonts w:hint="eastAsia"/>
                <w:sz w:val="24"/>
                <w:lang w:val="en-US" w:eastAsia="zh-CN"/>
              </w:rPr>
              <w:t>如何调整分光计</w:t>
            </w:r>
            <w:r>
              <w:rPr>
                <w:rFonts w:hint="eastAsia"/>
                <w:sz w:val="24"/>
                <w:lang w:eastAsia="zh-CN"/>
              </w:rPr>
              <w:t>”</w:t>
            </w:r>
            <w:r>
              <w:rPr>
                <w:rFonts w:hint="eastAsia"/>
                <w:sz w:val="24"/>
                <w:lang w:val="en-US" w:eastAsia="zh-CN"/>
              </w:rPr>
              <w:t>，并已上传至大学物理教学实验中心网站（http://epc.xjtu.edu.cn/）。考虑到中心网站的内存空间和存取速度等技术原因，将每一微课的完整视频裁分为三到四个部分，裁分后的视频观看较为流畅，无卡顿等现象。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上传到中心网站的截屏如下：</w:t>
            </w:r>
          </w:p>
          <w:p>
            <w:pPr>
              <w:spacing w:line="360" w:lineRule="auto"/>
              <w:ind w:firstLine="420" w:firstLineChars="200"/>
            </w:pPr>
            <w:r>
              <w:drawing>
                <wp:inline distT="0" distB="0" distL="114300" distR="114300">
                  <wp:extent cx="3696335" cy="1924050"/>
                  <wp:effectExtent l="0" t="0" r="184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3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ind w:firstLine="240" w:firstLineChars="1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视频“示波器的基本使用”截屏（整个视频时长约18分54秒）：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  <w:p>
            <w:pPr>
              <w:spacing w:line="360" w:lineRule="auto"/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2224405" cy="1684655"/>
                  <wp:effectExtent l="0" t="0" r="4445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</w:t>
            </w:r>
            <w:r>
              <w:drawing>
                <wp:inline distT="0" distB="0" distL="114300" distR="114300">
                  <wp:extent cx="1950085" cy="1788795"/>
                  <wp:effectExtent l="0" t="0" r="1206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8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</w:pPr>
            <w:r>
              <w:rPr>
                <w:rFonts w:hint="eastAsia"/>
                <w:sz w:val="24"/>
                <w:lang w:val="en-US" w:eastAsia="zh-CN"/>
              </w:rPr>
              <w:t xml:space="preserve">据观摩点击量统计，四部分的点击次数为别为 </w:t>
            </w:r>
          </w:p>
          <w:tbl>
            <w:tblPr>
              <w:tblStyle w:val="7"/>
              <w:tblpPr w:leftFromText="180" w:rightFromText="180" w:vertAnchor="text" w:horzAnchor="page" w:tblpX="202" w:tblpY="446"/>
              <w:tblOverlap w:val="never"/>
              <w:tblW w:w="806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85"/>
              <w:gridCol w:w="1890"/>
              <w:gridCol w:w="2085"/>
              <w:gridCol w:w="21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8" w:hRule="atLeast"/>
              </w:trPr>
              <w:tc>
                <w:tcPr>
                  <w:tcW w:w="19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第一部分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（基本原理）</w:t>
                  </w:r>
                </w:p>
              </w:tc>
              <w:tc>
                <w:tcPr>
                  <w:tcW w:w="189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第二部分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（面板介绍A）</w:t>
                  </w:r>
                </w:p>
              </w:tc>
              <w:tc>
                <w:tcPr>
                  <w:tcW w:w="20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第三部分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（面板介绍B）</w:t>
                  </w:r>
                </w:p>
              </w:tc>
              <w:tc>
                <w:tcPr>
                  <w:tcW w:w="210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第四部分（测量实例及常见故障）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8" w:hRule="atLeast"/>
              </w:trPr>
              <w:tc>
                <w:tcPr>
                  <w:tcW w:w="19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215301</w:t>
                  </w:r>
                </w:p>
              </w:tc>
              <w:tc>
                <w:tcPr>
                  <w:tcW w:w="189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994</w:t>
                  </w:r>
                </w:p>
              </w:tc>
              <w:tc>
                <w:tcPr>
                  <w:tcW w:w="20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602</w:t>
                  </w:r>
                </w:p>
              </w:tc>
              <w:tc>
                <w:tcPr>
                  <w:tcW w:w="210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1033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</w:trPr>
              <w:tc>
                <w:tcPr>
                  <w:tcW w:w="19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  <w:t>（不明点击量，非正常）</w:t>
                  </w:r>
                </w:p>
              </w:tc>
              <w:tc>
                <w:tcPr>
                  <w:tcW w:w="189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85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100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spacing w:line="360" w:lineRule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</w:p>
          <w:p>
            <w:pPr>
              <w:spacing w:line="36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从点击量上看出，除第一部分非正常点击外，学生主要观看了第四部分的内容。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修改前的视频“如何调整分光计”的截屏（总时长约11分32秒）：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2215515" cy="1783080"/>
                  <wp:effectExtent l="0" t="0" r="13335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2215515" cy="1689100"/>
                  <wp:effectExtent l="0" t="0" r="13335" b="635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修改后的该视频在原视频的基础上，增添了屏幕文字、动图，对音量等地方进行了修改，增加了调节方法的总结部分。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修改后的视频截图如下（完整视频时长约11分47秒）：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2217420" cy="1689735"/>
                  <wp:effectExtent l="0" t="0" r="1143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178050" cy="1686560"/>
                  <wp:effectExtent l="0" t="0" r="12700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8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2229485" cy="1724660"/>
                  <wp:effectExtent l="0" t="0" r="18415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165985" cy="1678305"/>
                  <wp:effectExtent l="0" t="0" r="5715" b="171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新版视频裁分为三部分，点击量如下：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tbl>
            <w:tblPr>
              <w:tblStyle w:val="7"/>
              <w:tblW w:w="830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68"/>
              <w:gridCol w:w="2769"/>
              <w:gridCol w:w="27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c>
                <w:tcPr>
                  <w:tcW w:w="2768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第一部分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结构介绍）</w:t>
                  </w:r>
                </w:p>
              </w:tc>
              <w:tc>
                <w:tcPr>
                  <w:tcW w:w="2769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第二部分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（望远镜与载物台）</w:t>
                  </w:r>
                </w:p>
              </w:tc>
              <w:tc>
                <w:tcPr>
                  <w:tcW w:w="2769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第三部分</w:t>
                  </w:r>
                </w:p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（平行光管的调节）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768" w:type="dxa"/>
                </w:tcPr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3348</w:t>
                  </w:r>
                </w:p>
              </w:tc>
              <w:tc>
                <w:tcPr>
                  <w:tcW w:w="2769" w:type="dxa"/>
                </w:tcPr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1539</w:t>
                  </w:r>
                </w:p>
              </w:tc>
              <w:tc>
                <w:tcPr>
                  <w:tcW w:w="2769" w:type="dxa"/>
                </w:tcPr>
                <w:p>
                  <w:pPr>
                    <w:spacing w:line="360" w:lineRule="auto"/>
                    <w:jc w:val="center"/>
                    <w:rPr>
                      <w:rFonts w:hint="eastAsia" w:eastAsia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2343</w:t>
                  </w:r>
                </w:p>
              </w:tc>
            </w:tr>
          </w:tbl>
          <w:p>
            <w:pPr>
              <w:spacing w:line="360" w:lineRule="auto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从点击量可以看出，学生对“如何调整分光计”进行了多次的观摩，也从另一方面说明我们对课前预习微课的选题方向正确。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我们也在学生中进行了问卷调查（有效答卷80份），大部分同学对这种课前预习方式表示了认可。</w:t>
            </w:r>
          </w:p>
          <w:tbl>
            <w:tblPr>
              <w:tblStyle w:val="7"/>
              <w:tblpPr w:leftFromText="180" w:rightFromText="180" w:vertAnchor="text" w:horzAnchor="page" w:tblpX="3592" w:tblpY="408"/>
              <w:tblOverlap w:val="never"/>
              <w:tblW w:w="450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3"/>
              <w:gridCol w:w="3207"/>
              <w:gridCol w:w="9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调查统计（本班雪上约80人）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百分比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看过视频人数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80%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认为对实验有帮助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60%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愿意使用视频预习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80%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4</w:t>
                  </w: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认为视频预习比较直观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80%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3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3207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认为对实验仪器操作有帮助</w:t>
                  </w:r>
                </w:p>
              </w:tc>
              <w:tc>
                <w:tcPr>
                  <w:tcW w:w="946" w:type="dxa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vertAlign w:val="baseline"/>
                      <w:lang w:val="en-US" w:eastAsia="zh-CN"/>
                    </w:rPr>
                    <w:t>80%</w:t>
                  </w:r>
                </w:p>
              </w:tc>
            </w:tr>
          </w:tbl>
          <w:p>
            <w:pPr>
              <w:spacing w:line="360" w:lineRule="auto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75790" cy="2797175"/>
                  <wp:effectExtent l="0" t="0" r="10160" b="317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279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也有部分学生说明了无个人电脑、上网不方便、学习习惯等原因导致无法观看视频。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2. </w:t>
            </w:r>
            <w:r>
              <w:rPr>
                <w:rFonts w:hint="eastAsia"/>
                <w:sz w:val="24"/>
                <w:lang w:val="en-US" w:eastAsia="zh-CN"/>
              </w:rPr>
              <w:t>初步撰写完成论文一篇，计划投稿至《物理实验》。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  <w:t>三、经费使用情况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本项目申请金额为1000元，已于5月初到达个人账上，计划购买视频存储工具如硬盘、U盘等（尚未购买）。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before="156" w:beforeLines="50" w:after="156" w:afterLines="50" w:line="360" w:lineRule="auto"/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color w:val="000000"/>
                <w:kern w:val="0"/>
                <w:sz w:val="32"/>
                <w:szCs w:val="32"/>
              </w:rPr>
              <w:t>四、存在的问题与下一步的工作计划</w:t>
            </w:r>
          </w:p>
          <w:p>
            <w:pPr>
              <w:spacing w:before="156" w:beforeLines="50" w:after="156" w:afterLines="50" w:line="360" w:lineRule="auto"/>
              <w:ind w:firstLine="482" w:firstLineChars="200"/>
              <w:rPr>
                <w:rFonts w:hint="eastAsia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1. 存在的问题和解决思路：</w:t>
            </w:r>
          </w:p>
          <w:p>
            <w:pPr>
              <w:spacing w:before="156" w:beforeLines="50" w:after="156" w:afterLines="50" w:line="360" w:lineRule="auto"/>
              <w:ind w:firstLine="480" w:firstLineChars="200"/>
              <w:rPr>
                <w:rFonts w:hint="eastAsia" w:ascii="黑体" w:hAnsi="黑体" w:eastAsia="黑体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lang w:val="en-US" w:eastAsia="zh-CN"/>
              </w:rPr>
              <w:t xml:space="preserve"> 因为经费、实验内容选题、脚本写作等原因，加之本人教学工作量较大，难以集中精力。经过考虑，已经初步在以下实验中进行选择，争取在暑假期间完成至少一个视频的拍摄。初选实验分别是：“等厚干涉及其应用”，“杨氏模量的测定”、“惠斯通电桥”。</w:t>
            </w:r>
          </w:p>
          <w:p>
            <w:pPr>
              <w:spacing w:before="156" w:beforeLines="50" w:after="156" w:afterLines="50" w:line="360" w:lineRule="auto"/>
              <w:ind w:firstLine="482" w:firstLineChars="200"/>
              <w:rPr>
                <w:rFonts w:hint="eastAsia"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2. 下一步的工作计划</w:t>
            </w:r>
          </w:p>
          <w:p>
            <w:pPr>
              <w:spacing w:before="156" w:beforeLines="50" w:after="156" w:afterLines="50" w:line="360" w:lineRule="auto"/>
              <w:ind w:firstLine="480" w:firstLineChars="200"/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4"/>
                <w:lang w:val="en-US" w:eastAsia="zh-CN"/>
              </w:rPr>
              <w:t xml:space="preserve"> 争取利用暑假时间，拍摄制作完成至少一个微课视频。同时加紧对论文的写作和修改，争取在正式刊物上发表一篇相关内容的文章。</w:t>
            </w:r>
          </w:p>
          <w:p>
            <w:pPr>
              <w:spacing w:line="360" w:lineRule="auto"/>
              <w:ind w:left="358" w:hanging="357" w:hangingChars="149"/>
              <w:rPr>
                <w:rFonts w:hint="eastAsia" w:eastAsia="楷体_GB2312"/>
                <w:sz w:val="24"/>
              </w:rPr>
            </w:pP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Style w:val="5"/>
      </w:rPr>
      <w:t>第</w:t>
    </w:r>
    <w:r>
      <w:rPr>
        <w:rStyle w:val="5"/>
      </w:rPr>
      <w:fldChar w:fldCharType="begin"/>
    </w:r>
    <w:r>
      <w:rPr>
        <w:rStyle w:val="5"/>
      </w:rPr>
      <w:instrText xml:space="preserve"> PAGE </w:instrText>
    </w:r>
    <w:r>
      <w:rPr>
        <w:rStyle w:val="5"/>
      </w:rPr>
      <w:fldChar w:fldCharType="separate"/>
    </w:r>
    <w:r>
      <w:rPr>
        <w:rStyle w:val="5"/>
      </w:rPr>
      <w:t>1</w:t>
    </w:r>
    <w:r>
      <w:rPr>
        <w:rStyle w:val="5"/>
      </w:rPr>
      <w:fldChar w:fldCharType="end"/>
    </w:r>
    <w:r>
      <w:rPr>
        <w:rStyle w:val="5"/>
      </w:rPr>
      <w:t>页</w:t>
    </w:r>
    <w:r>
      <w:rPr>
        <w:rStyle w:val="5"/>
        <w:rFonts w:hint="eastAsia"/>
      </w:rPr>
      <w:t xml:space="preserve"> </w:t>
    </w:r>
    <w:r>
      <w:rPr>
        <w:rStyle w:val="5"/>
      </w:rPr>
      <w:t>共</w:t>
    </w:r>
    <w:r>
      <w:rPr>
        <w:rStyle w:val="5"/>
        <w:rFonts w:hint="eastAsia"/>
      </w:rPr>
      <w:t>4</w:t>
    </w:r>
    <w:r>
      <w:rPr>
        <w:rStyle w:val="5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53299"/>
    <w:multiLevelType w:val="multilevel"/>
    <w:tmpl w:val="6505329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61221"/>
    <w:rsid w:val="062316E8"/>
    <w:rsid w:val="0A4D0D3C"/>
    <w:rsid w:val="196206E9"/>
    <w:rsid w:val="2208060E"/>
    <w:rsid w:val="29EA1DC9"/>
    <w:rsid w:val="2DFA1E71"/>
    <w:rsid w:val="2EF70697"/>
    <w:rsid w:val="3B8074A9"/>
    <w:rsid w:val="3DBB5716"/>
    <w:rsid w:val="3E202EBC"/>
    <w:rsid w:val="40707D3D"/>
    <w:rsid w:val="50580E0F"/>
    <w:rsid w:val="55243792"/>
    <w:rsid w:val="57947974"/>
    <w:rsid w:val="607F6A51"/>
    <w:rsid w:val="63FF214C"/>
    <w:rsid w:val="64C81CE3"/>
    <w:rsid w:val="6717570D"/>
    <w:rsid w:val="6BC766B2"/>
    <w:rsid w:val="6E2A5DEE"/>
    <w:rsid w:val="70AA56AC"/>
    <w:rsid w:val="744604A5"/>
    <w:rsid w:val="7D514996"/>
    <w:rsid w:val="7E210A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meitian</cp:lastModifiedBy>
  <dcterms:modified xsi:type="dcterms:W3CDTF">2017-07-19T09:21:26Z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