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Cs/>
          <w:sz w:val="24"/>
          <w:szCs w:val="24"/>
        </w:rPr>
      </w:pPr>
    </w:p>
    <w:p>
      <w:pPr>
        <w:rPr>
          <w:rFonts w:ascii="宋体" w:hAnsi="宋体"/>
          <w:bCs/>
          <w:sz w:val="24"/>
          <w:szCs w:val="24"/>
        </w:rPr>
      </w:pPr>
      <w:r>
        <w:rPr>
          <w:rFonts w:hint="eastAsia" w:ascii="宋体" w:hAnsi="宋体"/>
          <w:bCs/>
          <w:sz w:val="24"/>
          <w:szCs w:val="24"/>
        </w:rPr>
        <w:t>附件4</w:t>
      </w:r>
    </w:p>
    <w:p>
      <w:pPr>
        <w:pStyle w:val="27"/>
        <w:spacing w:before="0"/>
        <w:jc w:val="center"/>
        <w:rPr>
          <w:b/>
          <w:bCs/>
          <w:color w:val="000000"/>
          <w:sz w:val="36"/>
        </w:rPr>
      </w:pPr>
      <w:r>
        <w:rPr>
          <w:rStyle w:val="15"/>
          <w:color w:val="000000"/>
          <w:sz w:val="44"/>
        </w:rPr>
        <w:t>全国高等学校物理实验教学</w:t>
      </w:r>
      <w:r>
        <w:rPr>
          <w:rStyle w:val="15"/>
          <w:rFonts w:hint="eastAsia"/>
          <w:color w:val="000000"/>
          <w:sz w:val="44"/>
          <w:lang w:eastAsia="zh-CN"/>
        </w:rPr>
        <w:t>研讨</w:t>
      </w:r>
      <w:r>
        <w:rPr>
          <w:rStyle w:val="15"/>
          <w:color w:val="000000"/>
          <w:sz w:val="44"/>
        </w:rPr>
        <w:t xml:space="preserve">会 </w:t>
      </w:r>
      <w:r>
        <w:rPr>
          <w:b/>
          <w:bCs/>
          <w:color w:val="000000"/>
          <w:sz w:val="44"/>
        </w:rPr>
        <w:br w:type="textWrapping"/>
      </w:r>
      <w:r>
        <w:rPr>
          <w:b/>
          <w:bCs/>
          <w:color w:val="000000"/>
          <w:sz w:val="36"/>
        </w:rPr>
        <w:t>学生论文评比</w:t>
      </w:r>
      <w:r>
        <w:rPr>
          <w:rFonts w:hint="eastAsia"/>
          <w:b/>
          <w:bCs/>
          <w:color w:val="000000"/>
          <w:sz w:val="36"/>
          <w:lang w:eastAsia="zh-CN"/>
        </w:rPr>
        <w:t>实施</w:t>
      </w:r>
      <w:r>
        <w:rPr>
          <w:b/>
          <w:bCs/>
          <w:color w:val="000000"/>
          <w:sz w:val="36"/>
        </w:rPr>
        <w:t>细则</w:t>
      </w:r>
    </w:p>
    <w:p>
      <w:pPr>
        <w:spacing w:line="440" w:lineRule="exact"/>
        <w:rPr>
          <w:sz w:val="24"/>
        </w:rPr>
      </w:pPr>
      <w:r>
        <w:rPr>
          <w:rFonts w:hint="eastAsia"/>
          <w:sz w:val="24"/>
        </w:rPr>
        <w:t xml:space="preserve">    </w:t>
      </w:r>
      <w:r>
        <w:rPr>
          <w:sz w:val="24"/>
        </w:rPr>
        <w:t>全国高等学校物理实验教学</w:t>
      </w:r>
      <w:r>
        <w:rPr>
          <w:rFonts w:hint="eastAsia"/>
          <w:sz w:val="24"/>
        </w:rPr>
        <w:t>研讨</w:t>
      </w:r>
      <w:r>
        <w:rPr>
          <w:sz w:val="24"/>
        </w:rPr>
        <w:t>会系列会议由教育部物理学</w:t>
      </w:r>
      <w:r>
        <w:rPr>
          <w:rFonts w:hint="eastAsia"/>
          <w:sz w:val="24"/>
        </w:rPr>
        <w:t>类专业</w:t>
      </w:r>
      <w:r>
        <w:rPr>
          <w:sz w:val="24"/>
        </w:rPr>
        <w:t>教学指导委员会、</w:t>
      </w:r>
      <w:r>
        <w:rPr>
          <w:rFonts w:hint="eastAsia"/>
          <w:sz w:val="24"/>
        </w:rPr>
        <w:t>大学物理课程</w:t>
      </w:r>
      <w:r>
        <w:rPr>
          <w:sz w:val="24"/>
        </w:rPr>
        <w:t>教学指导委员会</w:t>
      </w:r>
      <w:r>
        <w:rPr>
          <w:rFonts w:hint="eastAsia"/>
          <w:sz w:val="24"/>
        </w:rPr>
        <w:t>和全</w:t>
      </w:r>
      <w:r>
        <w:rPr>
          <w:sz w:val="24"/>
        </w:rPr>
        <w:t>国高等学校实验物理教学研究会主办、相关高等学校承办，每两年举办一次。会议旨在通过高等学校实验物理教师之间的交流，加强高等学校物理实验教学的地位、促进高等学校物理实验教学质量的提高</w:t>
      </w:r>
      <w:r>
        <w:rPr>
          <w:rFonts w:ascii="Times New Roman" w:hAnsi="Times New Roman"/>
          <w:sz w:val="24"/>
        </w:rPr>
        <w:t>，并使高等学校物理实验教学</w:t>
      </w:r>
      <w:r>
        <w:rPr>
          <w:rFonts w:hint="eastAsia" w:ascii="Times New Roman" w:hAnsi="Times New Roman"/>
          <w:sz w:val="24"/>
        </w:rPr>
        <w:t>成果</w:t>
      </w:r>
      <w:r>
        <w:rPr>
          <w:rFonts w:ascii="Times New Roman" w:hAnsi="Times New Roman"/>
          <w:sz w:val="24"/>
        </w:rPr>
        <w:t>更受重视</w:t>
      </w:r>
      <w:r>
        <w:rPr>
          <w:rFonts w:hint="eastAsia" w:ascii="Times New Roman" w:hAnsi="Times New Roman"/>
          <w:sz w:val="24"/>
        </w:rPr>
        <w:t>和推广应用</w:t>
      </w:r>
      <w:r>
        <w:rPr>
          <w:sz w:val="24"/>
        </w:rPr>
        <w:t>。</w:t>
      </w:r>
    </w:p>
    <w:p>
      <w:pPr>
        <w:spacing w:line="440" w:lineRule="exact"/>
        <w:ind w:firstLine="480" w:firstLineChars="200"/>
        <w:rPr>
          <w:sz w:val="24"/>
        </w:rPr>
      </w:pPr>
      <w:r>
        <w:rPr>
          <w:sz w:val="24"/>
        </w:rPr>
        <w:t>会议内容之一是交流大学本科生参与</w:t>
      </w:r>
      <w:r>
        <w:rPr>
          <w:rFonts w:hint="eastAsia"/>
          <w:sz w:val="24"/>
        </w:rPr>
        <w:t>实验物理</w:t>
      </w:r>
      <w:r>
        <w:rPr>
          <w:sz w:val="24"/>
        </w:rPr>
        <w:t>相关</w:t>
      </w:r>
      <w:r>
        <w:rPr>
          <w:rFonts w:hint="eastAsia"/>
          <w:sz w:val="24"/>
        </w:rPr>
        <w:t>的科研和教学研究</w:t>
      </w:r>
      <w:r>
        <w:rPr>
          <w:sz w:val="24"/>
        </w:rPr>
        <w:t>的论文</w:t>
      </w:r>
      <w:r>
        <w:rPr>
          <w:rFonts w:hint="eastAsia"/>
          <w:sz w:val="24"/>
        </w:rPr>
        <w:t>成果</w:t>
      </w:r>
      <w:r>
        <w:rPr>
          <w:sz w:val="24"/>
        </w:rPr>
        <w:t>，并</w:t>
      </w:r>
      <w:r>
        <w:rPr>
          <w:rFonts w:hint="eastAsia"/>
          <w:sz w:val="24"/>
        </w:rPr>
        <w:t>组织</w:t>
      </w:r>
      <w:r>
        <w:rPr>
          <w:sz w:val="24"/>
        </w:rPr>
        <w:t>专家对论文进行评比。</w:t>
      </w:r>
    </w:p>
    <w:p>
      <w:pPr>
        <w:spacing w:after="160" w:line="440" w:lineRule="exact"/>
        <w:ind w:firstLine="480" w:firstLineChars="200"/>
        <w:rPr>
          <w:sz w:val="24"/>
        </w:rPr>
      </w:pPr>
      <w:r>
        <w:rPr>
          <w:sz w:val="24"/>
        </w:rPr>
        <w:t>本着“公平、公正、公开”的原则，</w:t>
      </w:r>
      <w:r>
        <w:rPr>
          <w:rFonts w:hint="eastAsia"/>
          <w:sz w:val="24"/>
        </w:rPr>
        <w:t>为</w:t>
      </w:r>
      <w:r>
        <w:rPr>
          <w:sz w:val="24"/>
        </w:rPr>
        <w:t>规范初审和</w:t>
      </w:r>
      <w:r>
        <w:rPr>
          <w:rFonts w:hint="eastAsia"/>
          <w:sz w:val="24"/>
        </w:rPr>
        <w:t>现场评</w:t>
      </w:r>
      <w:r>
        <w:rPr>
          <w:sz w:val="24"/>
        </w:rPr>
        <w:t>审阶段的工作，</w:t>
      </w:r>
      <w:r>
        <w:rPr>
          <w:rFonts w:hint="eastAsia"/>
          <w:sz w:val="24"/>
        </w:rPr>
        <w:t>全</w:t>
      </w:r>
      <w:r>
        <w:rPr>
          <w:sz w:val="24"/>
        </w:rPr>
        <w:t>国高等学校实验物理教学研究会常务理事会特制定</w:t>
      </w:r>
      <w:r>
        <w:rPr>
          <w:rFonts w:hint="eastAsia"/>
          <w:sz w:val="24"/>
        </w:rPr>
        <w:t>本</w:t>
      </w:r>
      <w:r>
        <w:rPr>
          <w:sz w:val="24"/>
        </w:rPr>
        <w:t>学生论文评比</w:t>
      </w:r>
      <w:bookmarkStart w:id="0" w:name="_Hlk15679189"/>
      <w:r>
        <w:rPr>
          <w:sz w:val="24"/>
        </w:rPr>
        <w:t>实施</w:t>
      </w:r>
      <w:bookmarkEnd w:id="0"/>
      <w:r>
        <w:rPr>
          <w:sz w:val="24"/>
        </w:rPr>
        <w:t>细则。</w:t>
      </w:r>
    </w:p>
    <w:p>
      <w:pPr>
        <w:spacing w:line="440" w:lineRule="exact"/>
        <w:rPr>
          <w:b/>
          <w:sz w:val="24"/>
        </w:rPr>
      </w:pPr>
      <w:r>
        <w:rPr>
          <w:rFonts w:hint="eastAsia"/>
          <w:b/>
          <w:sz w:val="24"/>
        </w:rPr>
        <w:t>一、参评论文的要求</w:t>
      </w:r>
    </w:p>
    <w:p>
      <w:pPr>
        <w:numPr>
          <w:ilvl w:val="0"/>
          <w:numId w:val="2"/>
        </w:numPr>
        <w:suppressAutoHyphens/>
        <w:spacing w:line="440" w:lineRule="exact"/>
        <w:ind w:firstLine="420" w:firstLineChars="175"/>
        <w:rPr>
          <w:sz w:val="24"/>
        </w:rPr>
      </w:pPr>
      <w:r>
        <w:rPr>
          <w:rFonts w:hint="eastAsia"/>
          <w:sz w:val="24"/>
        </w:rPr>
        <w:t>论文必须是已发表</w:t>
      </w:r>
      <w:r>
        <w:rPr>
          <w:rFonts w:hint="eastAsia" w:ascii="仿宋" w:hAnsi="仿宋" w:eastAsia="仿宋"/>
          <w:sz w:val="24"/>
        </w:rPr>
        <w:t>（包括已获录用通知的）</w:t>
      </w:r>
      <w:r>
        <w:rPr>
          <w:rFonts w:hint="eastAsia"/>
          <w:sz w:val="24"/>
        </w:rPr>
        <w:t>在正式学术刊物上、且其从未参加过评比的论文；论文的发表时间介于上届研讨会至本届研讨会之间</w:t>
      </w:r>
      <w:r>
        <w:rPr>
          <w:rFonts w:hint="eastAsia"/>
          <w:b/>
          <w:bCs/>
          <w:sz w:val="24"/>
        </w:rPr>
        <w:t>。</w:t>
      </w:r>
    </w:p>
    <w:p>
      <w:pPr>
        <w:numPr>
          <w:ilvl w:val="0"/>
          <w:numId w:val="2"/>
        </w:numPr>
        <w:suppressAutoHyphens/>
        <w:spacing w:line="440" w:lineRule="exact"/>
        <w:ind w:firstLine="420" w:firstLineChars="175"/>
        <w:rPr>
          <w:sz w:val="24"/>
        </w:rPr>
      </w:pPr>
      <w:r>
        <w:rPr>
          <w:rFonts w:hint="eastAsia"/>
          <w:sz w:val="24"/>
        </w:rPr>
        <w:t>论文的第一作者必须为大学本科生，且其论文研究工作是在本科生阶段完成的，到现场答辩的必须是该论文的学生作者</w:t>
      </w:r>
      <w:r>
        <w:rPr>
          <w:rFonts w:hint="eastAsia"/>
          <w:b/>
          <w:bCs/>
          <w:szCs w:val="28"/>
        </w:rPr>
        <w:t>。</w:t>
      </w:r>
    </w:p>
    <w:p>
      <w:pPr>
        <w:numPr>
          <w:ilvl w:val="0"/>
          <w:numId w:val="2"/>
        </w:numPr>
        <w:suppressAutoHyphens/>
        <w:spacing w:line="440" w:lineRule="exact"/>
        <w:ind w:firstLine="420" w:firstLineChars="175"/>
        <w:rPr>
          <w:sz w:val="24"/>
        </w:rPr>
      </w:pPr>
      <w:r>
        <w:rPr>
          <w:rFonts w:hint="eastAsia"/>
          <w:sz w:val="24"/>
        </w:rPr>
        <w:t>每所学校推荐提交的论文数量</w:t>
      </w:r>
    </w:p>
    <w:p>
      <w:pPr>
        <w:numPr>
          <w:ilvl w:val="0"/>
          <w:numId w:val="3"/>
        </w:numPr>
        <w:tabs>
          <w:tab w:val="left" w:pos="0"/>
        </w:tabs>
        <w:suppressAutoHyphens/>
        <w:spacing w:line="440" w:lineRule="exact"/>
        <w:ind w:firstLine="720" w:firstLineChars="300"/>
        <w:rPr>
          <w:sz w:val="24"/>
        </w:rPr>
      </w:pPr>
      <w:r>
        <w:rPr>
          <w:rFonts w:hint="eastAsia"/>
          <w:sz w:val="24"/>
        </w:rPr>
        <w:t>国家批准设立理科基地或工科基础的院校，推荐不超过 2 篇论文；</w:t>
      </w:r>
    </w:p>
    <w:p>
      <w:pPr>
        <w:tabs>
          <w:tab w:val="left" w:pos="0"/>
        </w:tabs>
        <w:spacing w:line="440" w:lineRule="exact"/>
        <w:ind w:firstLine="720" w:firstLineChars="300"/>
        <w:rPr>
          <w:sz w:val="24"/>
        </w:rPr>
      </w:pPr>
      <w:r>
        <w:rPr>
          <w:rFonts w:hint="eastAsia"/>
          <w:sz w:val="24"/>
        </w:rPr>
        <w:t>b. 其他院校，推荐不超过 1 篇论文。</w:t>
      </w:r>
    </w:p>
    <w:p>
      <w:pPr>
        <w:spacing w:after="160" w:line="440" w:lineRule="exact"/>
        <w:rPr>
          <w:szCs w:val="21"/>
        </w:rPr>
      </w:pPr>
      <w:r>
        <w:rPr>
          <w:rFonts w:hint="eastAsia"/>
          <w:szCs w:val="21"/>
        </w:rPr>
        <w:t>（</w:t>
      </w:r>
      <w:r>
        <w:rPr>
          <w:rFonts w:hint="eastAsia" w:ascii="楷体" w:hAnsi="楷体" w:eastAsia="楷体" w:cs="楷体"/>
          <w:szCs w:val="21"/>
        </w:rPr>
        <w:t>备注：教育部公布的物理学类理科基地的院校19个：北京大学、清华大学、北京师范大学、南开大学、山西大学、吉林大学、复旦大学、南京大学、中国科学技术大学、山东大学、华中师范大学、中山大学、西北大学、兰州大学、浙江大学、武汉大学、四川大学、华东师范大学，内蒙古大学；国家工科基础课程教学基地的院校9个：上海交通大学、清华大学、同济大学、北京交通大学、北京科技大学、中南大学、北京化工大学、浙江大学、西安交通大学。</w:t>
      </w:r>
      <w:r>
        <w:rPr>
          <w:rFonts w:hint="eastAsia"/>
          <w:szCs w:val="21"/>
        </w:rPr>
        <w:t>）</w:t>
      </w:r>
    </w:p>
    <w:p>
      <w:pPr>
        <w:spacing w:line="440" w:lineRule="exact"/>
        <w:rPr>
          <w:b/>
          <w:sz w:val="24"/>
        </w:rPr>
      </w:pPr>
      <w:r>
        <w:rPr>
          <w:rFonts w:hint="eastAsia"/>
          <w:b/>
          <w:sz w:val="24"/>
        </w:rPr>
        <w:t>二</w:t>
      </w:r>
      <w:r>
        <w:rPr>
          <w:b/>
          <w:sz w:val="24"/>
        </w:rPr>
        <w:t>、</w:t>
      </w:r>
      <w:r>
        <w:rPr>
          <w:rFonts w:hint="eastAsia"/>
          <w:b/>
          <w:sz w:val="24"/>
        </w:rPr>
        <w:t>论文提交及初审</w:t>
      </w:r>
      <w:r>
        <w:rPr>
          <w:b/>
          <w:sz w:val="24"/>
        </w:rPr>
        <w:t>阶段的要求</w:t>
      </w:r>
    </w:p>
    <w:p>
      <w:pPr>
        <w:spacing w:line="440" w:lineRule="exact"/>
        <w:rPr>
          <w:sz w:val="24"/>
        </w:rPr>
      </w:pPr>
      <w:r>
        <w:rPr>
          <w:rFonts w:hint="eastAsia"/>
          <w:sz w:val="24"/>
        </w:rPr>
        <w:t xml:space="preserve">    1</w:t>
      </w:r>
      <w:r>
        <w:rPr>
          <w:sz w:val="24"/>
        </w:rPr>
        <w:t>. 填写论文评比申请表（表格</w:t>
      </w:r>
      <w:r>
        <w:rPr>
          <w:rFonts w:hint="eastAsia"/>
          <w:sz w:val="24"/>
        </w:rPr>
        <w:t>可</w:t>
      </w:r>
      <w:r>
        <w:rPr>
          <w:sz w:val="24"/>
        </w:rPr>
        <w:t>从</w:t>
      </w:r>
      <w:r>
        <w:rPr>
          <w:rFonts w:hint="eastAsia"/>
          <w:sz w:val="24"/>
        </w:rPr>
        <w:t>研究会</w:t>
      </w:r>
      <w:r>
        <w:rPr>
          <w:sz w:val="24"/>
        </w:rPr>
        <w:t>网站下载），且申请人必须在申请表的相应栏目中填写参评类别（教学或科研，二</w:t>
      </w:r>
      <w:r>
        <w:rPr>
          <w:rFonts w:hint="eastAsia"/>
          <w:sz w:val="24"/>
        </w:rPr>
        <w:t>选</w:t>
      </w:r>
      <w:r>
        <w:rPr>
          <w:sz w:val="24"/>
        </w:rPr>
        <w:t>一）</w:t>
      </w:r>
      <w:r>
        <w:rPr>
          <w:rFonts w:hint="eastAsia"/>
          <w:sz w:val="24"/>
        </w:rPr>
        <w:t>，需有单位盖章。</w:t>
      </w:r>
    </w:p>
    <w:p>
      <w:pPr>
        <w:widowControl/>
        <w:spacing w:line="440" w:lineRule="exact"/>
        <w:rPr>
          <w:sz w:val="24"/>
        </w:rPr>
      </w:pPr>
      <w:r>
        <w:rPr>
          <w:rFonts w:hint="eastAsia"/>
          <w:sz w:val="24"/>
        </w:rPr>
        <w:t xml:space="preserve">    2. 论文和申请表请采用word或者PDF格式上传，不要采用单张图片格式。</w:t>
      </w:r>
    </w:p>
    <w:p>
      <w:pPr>
        <w:spacing w:line="440" w:lineRule="exact"/>
        <w:rPr>
          <w:sz w:val="24"/>
        </w:rPr>
      </w:pPr>
      <w:r>
        <w:rPr>
          <w:rFonts w:hint="eastAsia"/>
          <w:sz w:val="24"/>
        </w:rPr>
        <w:t xml:space="preserve">    3</w:t>
      </w:r>
      <w:r>
        <w:rPr>
          <w:sz w:val="24"/>
        </w:rPr>
        <w:t>. 将论文</w:t>
      </w:r>
      <w:r>
        <w:rPr>
          <w:rFonts w:hint="eastAsia"/>
          <w:sz w:val="24"/>
        </w:rPr>
        <w:t>的</w:t>
      </w:r>
      <w:r>
        <w:rPr>
          <w:sz w:val="24"/>
        </w:rPr>
        <w:t>1份抽印本、5份复印本和5份评比申请表</w:t>
      </w:r>
      <w:r>
        <w:rPr>
          <w:rFonts w:hint="eastAsia"/>
          <w:sz w:val="24"/>
        </w:rPr>
        <w:t>一并递交</w:t>
      </w:r>
      <w:r>
        <w:rPr>
          <w:sz w:val="24"/>
        </w:rPr>
        <w:t>到会</w:t>
      </w:r>
      <w:r>
        <w:rPr>
          <w:rFonts w:hint="eastAsia"/>
          <w:sz w:val="24"/>
        </w:rPr>
        <w:t>务组</w:t>
      </w:r>
      <w:r>
        <w:rPr>
          <w:sz w:val="24"/>
        </w:rPr>
        <w:t>联系人。</w:t>
      </w:r>
    </w:p>
    <w:p>
      <w:pPr>
        <w:widowControl/>
        <w:spacing w:after="160" w:line="440" w:lineRule="exact"/>
        <w:rPr>
          <w:sz w:val="24"/>
        </w:rPr>
      </w:pPr>
      <w:r>
        <w:rPr>
          <w:rFonts w:hint="eastAsia"/>
          <w:sz w:val="24"/>
        </w:rPr>
        <w:t xml:space="preserve">    4. 总协调人联系《物理实验》编辑部及相关人员，进行论文初审和网上管理。</w:t>
      </w:r>
    </w:p>
    <w:p>
      <w:pPr>
        <w:spacing w:line="440" w:lineRule="exact"/>
        <w:rPr>
          <w:b/>
          <w:bCs/>
          <w:sz w:val="24"/>
        </w:rPr>
      </w:pPr>
      <w:r>
        <w:rPr>
          <w:rFonts w:hint="eastAsia"/>
          <w:b/>
          <w:bCs/>
          <w:sz w:val="24"/>
        </w:rPr>
        <w:t>三</w:t>
      </w:r>
      <w:r>
        <w:rPr>
          <w:b/>
          <w:bCs/>
          <w:sz w:val="24"/>
        </w:rPr>
        <w:t>、</w:t>
      </w:r>
      <w:r>
        <w:rPr>
          <w:rFonts w:hint="eastAsia"/>
          <w:b/>
          <w:bCs/>
          <w:sz w:val="24"/>
        </w:rPr>
        <w:t>现场</w:t>
      </w:r>
      <w:r>
        <w:rPr>
          <w:b/>
          <w:bCs/>
          <w:sz w:val="24"/>
        </w:rPr>
        <w:t>评</w:t>
      </w:r>
      <w:r>
        <w:rPr>
          <w:rFonts w:hint="eastAsia"/>
          <w:b/>
          <w:bCs/>
          <w:sz w:val="24"/>
        </w:rPr>
        <w:t>审</w:t>
      </w:r>
      <w:r>
        <w:rPr>
          <w:b/>
          <w:bCs/>
          <w:sz w:val="24"/>
        </w:rPr>
        <w:t>阶段的要求</w:t>
      </w:r>
    </w:p>
    <w:p>
      <w:pPr>
        <w:spacing w:line="440" w:lineRule="exact"/>
        <w:rPr>
          <w:sz w:val="24"/>
        </w:rPr>
      </w:pPr>
      <w:r>
        <w:rPr>
          <w:rFonts w:hint="eastAsia"/>
          <w:b/>
          <w:bCs/>
          <w:sz w:val="24"/>
        </w:rPr>
        <w:t xml:space="preserve">    </w:t>
      </w:r>
      <w:r>
        <w:rPr>
          <w:sz w:val="24"/>
        </w:rPr>
        <w:t>1. 通过初审论文的学生</w:t>
      </w:r>
      <w:r>
        <w:rPr>
          <w:rFonts w:hint="eastAsia"/>
          <w:sz w:val="24"/>
        </w:rPr>
        <w:t>作者</w:t>
      </w:r>
      <w:r>
        <w:rPr>
          <w:sz w:val="24"/>
        </w:rPr>
        <w:t>，务必到</w:t>
      </w:r>
      <w:r>
        <w:rPr>
          <w:rFonts w:hint="eastAsia"/>
          <w:sz w:val="24"/>
        </w:rPr>
        <w:t>现</w:t>
      </w:r>
      <w:r>
        <w:rPr>
          <w:sz w:val="24"/>
        </w:rPr>
        <w:t>场参加答辩（</w:t>
      </w:r>
      <w:r>
        <w:rPr>
          <w:rFonts w:ascii="Times New Roman" w:hAnsi="Times New Roman"/>
          <w:sz w:val="24"/>
        </w:rPr>
        <w:t>陈述 8 分钟，问辩 4 分钟</w:t>
      </w:r>
      <w:r>
        <w:rPr>
          <w:sz w:val="24"/>
        </w:rPr>
        <w:t>），否则被视为自动放弃参评。</w:t>
      </w:r>
    </w:p>
    <w:p>
      <w:pPr>
        <w:spacing w:line="440" w:lineRule="exact"/>
        <w:ind w:firstLine="482" w:firstLineChars="200"/>
        <w:rPr>
          <w:bCs/>
          <w:sz w:val="24"/>
        </w:rPr>
      </w:pPr>
      <w:r>
        <w:rPr>
          <w:b/>
          <w:bCs/>
          <w:sz w:val="24"/>
        </w:rPr>
        <w:t xml:space="preserve">2. </w:t>
      </w:r>
      <w:r>
        <w:rPr>
          <w:rFonts w:hint="eastAsia"/>
          <w:bCs/>
          <w:sz w:val="24"/>
        </w:rPr>
        <w:t>现场答辩</w:t>
      </w:r>
      <w:r>
        <w:rPr>
          <w:bCs/>
          <w:sz w:val="24"/>
        </w:rPr>
        <w:t>全部结束后，由评审组长主持最后的评比排序（是否在正式投票前进行适当的讨论，由评审委员会成员协商决定）</w:t>
      </w:r>
      <w:r>
        <w:rPr>
          <w:rFonts w:hint="eastAsia"/>
          <w:bCs/>
          <w:sz w:val="24"/>
        </w:rPr>
        <w:t>。</w:t>
      </w:r>
    </w:p>
    <w:p>
      <w:pPr>
        <w:spacing w:line="440" w:lineRule="exact"/>
        <w:ind w:firstLine="480" w:firstLineChars="200"/>
        <w:rPr>
          <w:bCs/>
          <w:sz w:val="24"/>
        </w:rPr>
      </w:pPr>
      <w:r>
        <w:rPr>
          <w:bCs/>
          <w:sz w:val="24"/>
        </w:rPr>
        <w:t>3. 评比等</w:t>
      </w:r>
      <w:r>
        <w:rPr>
          <w:rFonts w:hint="eastAsia"/>
          <w:bCs/>
          <w:sz w:val="24"/>
        </w:rPr>
        <w:t>级</w:t>
      </w:r>
      <w:r>
        <w:rPr>
          <w:bCs/>
          <w:sz w:val="24"/>
        </w:rPr>
        <w:t>的</w:t>
      </w:r>
      <w:r>
        <w:rPr>
          <w:rFonts w:hint="eastAsia"/>
          <w:bCs/>
          <w:sz w:val="24"/>
        </w:rPr>
        <w:t>相应</w:t>
      </w:r>
      <w:r>
        <w:rPr>
          <w:bCs/>
          <w:sz w:val="24"/>
        </w:rPr>
        <w:t>比例</w:t>
      </w:r>
      <w:r>
        <w:rPr>
          <w:rFonts w:hint="eastAsia"/>
          <w:bCs/>
          <w:sz w:val="24"/>
        </w:rPr>
        <w:t>约为</w:t>
      </w:r>
      <w:r>
        <w:rPr>
          <w:bCs/>
          <w:sz w:val="24"/>
        </w:rPr>
        <w:t>：一等奖占1/6，二等奖占1/3，三等奖占1/2</w:t>
      </w:r>
      <w:r>
        <w:rPr>
          <w:rFonts w:hint="eastAsia"/>
          <w:bCs/>
          <w:sz w:val="24"/>
        </w:rPr>
        <w:t>。</w:t>
      </w:r>
    </w:p>
    <w:p>
      <w:pPr>
        <w:spacing w:after="160" w:line="440" w:lineRule="exact"/>
        <w:ind w:firstLine="480" w:firstLineChars="200"/>
        <w:rPr>
          <w:sz w:val="24"/>
        </w:rPr>
      </w:pPr>
      <w:r>
        <w:rPr>
          <w:bCs/>
          <w:sz w:val="24"/>
        </w:rPr>
        <w:t>4. 根据所推荐的每种类别的论文篇数，每个组的评委按照上述比例分别</w:t>
      </w:r>
      <w:r>
        <w:rPr>
          <w:rFonts w:hint="eastAsia"/>
          <w:bCs/>
          <w:sz w:val="24"/>
        </w:rPr>
        <w:t>评</w:t>
      </w:r>
      <w:r>
        <w:rPr>
          <w:bCs/>
          <w:sz w:val="24"/>
        </w:rPr>
        <w:t>出一等奖和二等奖的论文，余下的论文列为三等奖</w:t>
      </w:r>
      <w:r>
        <w:rPr>
          <w:sz w:val="24"/>
        </w:rPr>
        <w:t>。</w:t>
      </w:r>
    </w:p>
    <w:p>
      <w:pPr>
        <w:spacing w:line="440" w:lineRule="exact"/>
        <w:rPr>
          <w:b/>
          <w:bCs/>
          <w:sz w:val="24"/>
        </w:rPr>
      </w:pPr>
      <w:r>
        <w:rPr>
          <w:rFonts w:hint="eastAsia"/>
          <w:b/>
          <w:bCs/>
          <w:sz w:val="24"/>
        </w:rPr>
        <w:t>四</w:t>
      </w:r>
      <w:r>
        <w:rPr>
          <w:b/>
          <w:bCs/>
          <w:sz w:val="24"/>
        </w:rPr>
        <w:t>、评比的参考依据</w:t>
      </w:r>
    </w:p>
    <w:p>
      <w:pPr>
        <w:spacing w:line="440" w:lineRule="exact"/>
        <w:rPr>
          <w:sz w:val="24"/>
        </w:rPr>
      </w:pPr>
      <w:r>
        <w:rPr>
          <w:rFonts w:hint="eastAsia"/>
          <w:sz w:val="24"/>
        </w:rPr>
        <w:t xml:space="preserve">    </w:t>
      </w:r>
      <w:r>
        <w:rPr>
          <w:sz w:val="24"/>
        </w:rPr>
        <w:t>1. 发表刊物的学术水准；</w:t>
      </w:r>
    </w:p>
    <w:p>
      <w:pPr>
        <w:spacing w:line="440" w:lineRule="exact"/>
        <w:rPr>
          <w:sz w:val="24"/>
        </w:rPr>
      </w:pPr>
      <w:r>
        <w:rPr>
          <w:rFonts w:hint="eastAsia"/>
          <w:sz w:val="24"/>
        </w:rPr>
        <w:t xml:space="preserve">    </w:t>
      </w:r>
      <w:r>
        <w:rPr>
          <w:sz w:val="24"/>
        </w:rPr>
        <w:t>2. 研究工作的质量（论文的主要成果及学术水平、工作量的多少）；</w:t>
      </w:r>
    </w:p>
    <w:p>
      <w:pPr>
        <w:spacing w:line="440" w:lineRule="exact"/>
        <w:rPr>
          <w:sz w:val="24"/>
        </w:rPr>
      </w:pPr>
      <w:r>
        <w:rPr>
          <w:rFonts w:hint="eastAsia"/>
          <w:sz w:val="24"/>
        </w:rPr>
        <w:t xml:space="preserve">    </w:t>
      </w:r>
      <w:r>
        <w:rPr>
          <w:sz w:val="24"/>
        </w:rPr>
        <w:t xml:space="preserve">3. </w:t>
      </w:r>
      <w:r>
        <w:rPr>
          <w:rFonts w:hint="eastAsia"/>
          <w:sz w:val="24"/>
        </w:rPr>
        <w:t>答辩</w:t>
      </w:r>
      <w:r>
        <w:rPr>
          <w:sz w:val="24"/>
        </w:rPr>
        <w:t>人在</w:t>
      </w:r>
      <w:r>
        <w:rPr>
          <w:rFonts w:hint="eastAsia"/>
          <w:sz w:val="24"/>
        </w:rPr>
        <w:t>论文</w:t>
      </w:r>
      <w:r>
        <w:rPr>
          <w:sz w:val="24"/>
        </w:rPr>
        <w:t>研究工作中的实际贡献；</w:t>
      </w:r>
    </w:p>
    <w:p>
      <w:pPr>
        <w:spacing w:after="160" w:line="440" w:lineRule="exact"/>
        <w:rPr>
          <w:sz w:val="24"/>
        </w:rPr>
      </w:pPr>
      <w:r>
        <w:rPr>
          <w:rFonts w:hint="eastAsia"/>
          <w:sz w:val="24"/>
        </w:rPr>
        <w:t xml:space="preserve">    </w:t>
      </w:r>
      <w:r>
        <w:rPr>
          <w:sz w:val="24"/>
        </w:rPr>
        <w:t xml:space="preserve">4. </w:t>
      </w:r>
      <w:r>
        <w:rPr>
          <w:rFonts w:hint="eastAsia"/>
          <w:sz w:val="24"/>
        </w:rPr>
        <w:t>答辩</w:t>
      </w:r>
      <w:r>
        <w:rPr>
          <w:sz w:val="24"/>
        </w:rPr>
        <w:t>人的口头表达水平以及回答专家问题的能力（如：正确与否？是否准确流畅？）。</w:t>
      </w:r>
    </w:p>
    <w:p>
      <w:pPr>
        <w:spacing w:line="440" w:lineRule="exact"/>
        <w:rPr>
          <w:b/>
          <w:bCs/>
          <w:sz w:val="24"/>
        </w:rPr>
      </w:pPr>
      <w:r>
        <w:rPr>
          <w:rFonts w:hint="eastAsia"/>
          <w:b/>
          <w:bCs/>
          <w:sz w:val="24"/>
        </w:rPr>
        <w:t>五</w:t>
      </w:r>
      <w:r>
        <w:rPr>
          <w:b/>
          <w:bCs/>
          <w:sz w:val="24"/>
        </w:rPr>
        <w:t>、</w:t>
      </w:r>
      <w:r>
        <w:rPr>
          <w:rFonts w:hint="eastAsia"/>
          <w:b/>
          <w:bCs/>
          <w:sz w:val="24"/>
        </w:rPr>
        <w:t>论文评审委员会的组成和责权</w:t>
      </w:r>
    </w:p>
    <w:p>
      <w:pPr>
        <w:spacing w:line="440" w:lineRule="exact"/>
        <w:ind w:firstLine="480"/>
        <w:rPr>
          <w:sz w:val="24"/>
        </w:rPr>
      </w:pPr>
      <w:r>
        <w:rPr>
          <w:sz w:val="24"/>
        </w:rPr>
        <w:t xml:space="preserve">1. </w:t>
      </w:r>
      <w:r>
        <w:rPr>
          <w:rFonts w:hint="eastAsia"/>
          <w:sz w:val="24"/>
        </w:rPr>
        <w:t>论文评比工作由研究会委派一位副理事长负责，担任总协调人，并处理投诉。</w:t>
      </w:r>
    </w:p>
    <w:p>
      <w:pPr>
        <w:spacing w:line="440" w:lineRule="exact"/>
        <w:ind w:firstLine="480"/>
        <w:rPr>
          <w:sz w:val="24"/>
        </w:rPr>
      </w:pPr>
      <w:r>
        <w:rPr>
          <w:rFonts w:hint="eastAsia"/>
          <w:sz w:val="24"/>
        </w:rPr>
        <w:t>2. 各常务理事单位推荐有经验的专家担任评委，每一届重新自行报名（填写专家推荐表）；评审委员会名单由总协调人汇总、编排，报理事长审批。</w:t>
      </w:r>
    </w:p>
    <w:p>
      <w:pPr>
        <w:spacing w:line="440" w:lineRule="exact"/>
        <w:ind w:firstLine="480"/>
        <w:rPr>
          <w:sz w:val="24"/>
        </w:rPr>
      </w:pPr>
      <w:r>
        <w:rPr>
          <w:rFonts w:hint="eastAsia"/>
          <w:sz w:val="24"/>
        </w:rPr>
        <w:t>3. 论文评审委员会成员分为教学和科研二个组，各设组长一位，组长负责现场评比阶段的工作，并将评比结果（名单，专家签字）提交总协调人审核。</w:t>
      </w:r>
    </w:p>
    <w:p>
      <w:pPr>
        <w:spacing w:after="160" w:line="440" w:lineRule="exact"/>
        <w:ind w:firstLine="482"/>
        <w:rPr>
          <w:sz w:val="24"/>
        </w:rPr>
      </w:pPr>
      <w:r>
        <w:rPr>
          <w:rFonts w:hint="eastAsia"/>
          <w:sz w:val="24"/>
        </w:rPr>
        <w:t>4. 总协调人和两位组长一起检查评分结果的所有资料，确定最终获奖名单，纸质资料上报研究会秘书长和理事长。</w:t>
      </w:r>
    </w:p>
    <w:p>
      <w:pPr>
        <w:spacing w:line="440" w:lineRule="exact"/>
        <w:rPr>
          <w:b/>
          <w:bCs/>
          <w:sz w:val="24"/>
        </w:rPr>
      </w:pPr>
      <w:r>
        <w:rPr>
          <w:rFonts w:hint="eastAsia"/>
          <w:b/>
          <w:bCs/>
          <w:sz w:val="24"/>
        </w:rPr>
        <w:t>六、</w:t>
      </w:r>
      <w:r>
        <w:rPr>
          <w:b/>
          <w:bCs/>
          <w:sz w:val="24"/>
        </w:rPr>
        <w:t>评比</w:t>
      </w:r>
      <w:r>
        <w:rPr>
          <w:rFonts w:hint="eastAsia"/>
          <w:b/>
          <w:bCs/>
          <w:sz w:val="24"/>
        </w:rPr>
        <w:t>实施</w:t>
      </w:r>
      <w:r>
        <w:rPr>
          <w:b/>
          <w:bCs/>
          <w:sz w:val="24"/>
        </w:rPr>
        <w:t>细则的解释权</w:t>
      </w:r>
      <w:r>
        <w:rPr>
          <w:b/>
          <w:bCs/>
          <w:sz w:val="24"/>
        </w:rPr>
        <w:tab/>
      </w:r>
    </w:p>
    <w:p>
      <w:pPr>
        <w:spacing w:line="440" w:lineRule="exact"/>
        <w:rPr>
          <w:sz w:val="24"/>
        </w:rPr>
      </w:pPr>
      <w:r>
        <w:rPr>
          <w:sz w:val="24"/>
        </w:rPr>
        <w:tab/>
      </w:r>
      <w:r>
        <w:rPr>
          <w:rFonts w:hint="eastAsia"/>
          <w:sz w:val="24"/>
        </w:rPr>
        <w:t>全</w:t>
      </w:r>
      <w:r>
        <w:rPr>
          <w:sz w:val="24"/>
        </w:rPr>
        <w:t>国高等学校实验物理教学研究会常务理事会拥有本学生论文评比实施细则的全部解释权。</w:t>
      </w:r>
    </w:p>
    <w:p>
      <w:pPr>
        <w:spacing w:line="360" w:lineRule="exact"/>
      </w:pPr>
    </w:p>
    <w:p>
      <w:pPr>
        <w:spacing w:line="360" w:lineRule="exact"/>
        <w:jc w:val="right"/>
        <w:rPr>
          <w:sz w:val="24"/>
          <w:szCs w:val="32"/>
        </w:rPr>
      </w:pPr>
      <w:r>
        <w:rPr>
          <w:rFonts w:hint="eastAsia"/>
          <w:sz w:val="24"/>
          <w:szCs w:val="32"/>
        </w:rPr>
        <w:t>（2019年8月修订）</w:t>
      </w:r>
    </w:p>
    <w:p>
      <w:pPr>
        <w:widowControl/>
        <w:jc w:val="left"/>
        <w:rPr>
          <w:rFonts w:hint="eastAsia" w:ascii="宋体" w:hAnsi="宋体"/>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23F5C"/>
    <w:multiLevelType w:val="singleLevel"/>
    <w:tmpl w:val="C8223F5C"/>
    <w:lvl w:ilvl="0" w:tentative="0">
      <w:start w:val="1"/>
      <w:numFmt w:val="decimal"/>
      <w:suff w:val="space"/>
      <w:lvlText w:val="%1."/>
      <w:lvlJc w:val="left"/>
      <w:pPr>
        <w:tabs>
          <w:tab w:val="left" w:pos="0"/>
        </w:tabs>
      </w:pPr>
      <w:rPr>
        <w:rFonts w:hint="default"/>
      </w:rPr>
    </w:lvl>
  </w:abstractNum>
  <w:abstractNum w:abstractNumId="1">
    <w:nsid w:val="25612907"/>
    <w:multiLevelType w:val="singleLevel"/>
    <w:tmpl w:val="25612907"/>
    <w:lvl w:ilvl="0" w:tentative="0">
      <w:start w:val="1"/>
      <w:numFmt w:val="lowerLetter"/>
      <w:suff w:val="space"/>
      <w:lvlText w:val="%1."/>
      <w:lvlJc w:val="left"/>
    </w:lvl>
  </w:abstractNum>
  <w:abstractNum w:abstractNumId="2">
    <w:nsid w:val="6ADC52B9"/>
    <w:multiLevelType w:val="multilevel"/>
    <w:tmpl w:val="6ADC52B9"/>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A9"/>
    <w:rsid w:val="00014E4B"/>
    <w:rsid w:val="0009027B"/>
    <w:rsid w:val="000937DA"/>
    <w:rsid w:val="000A6C92"/>
    <w:rsid w:val="000F5352"/>
    <w:rsid w:val="00105B63"/>
    <w:rsid w:val="0012271E"/>
    <w:rsid w:val="00183546"/>
    <w:rsid w:val="001A781E"/>
    <w:rsid w:val="001B243E"/>
    <w:rsid w:val="001C3997"/>
    <w:rsid w:val="001D5D02"/>
    <w:rsid w:val="001E121D"/>
    <w:rsid w:val="001E3AF9"/>
    <w:rsid w:val="001F154B"/>
    <w:rsid w:val="00262DD0"/>
    <w:rsid w:val="0026546F"/>
    <w:rsid w:val="00297284"/>
    <w:rsid w:val="002F109C"/>
    <w:rsid w:val="003B15EC"/>
    <w:rsid w:val="003B6B6A"/>
    <w:rsid w:val="003B7689"/>
    <w:rsid w:val="003C5EA9"/>
    <w:rsid w:val="003C68EF"/>
    <w:rsid w:val="003E27CC"/>
    <w:rsid w:val="003E3462"/>
    <w:rsid w:val="00450558"/>
    <w:rsid w:val="00460678"/>
    <w:rsid w:val="00484808"/>
    <w:rsid w:val="00491202"/>
    <w:rsid w:val="004C6490"/>
    <w:rsid w:val="004D1077"/>
    <w:rsid w:val="005A078D"/>
    <w:rsid w:val="005C2BF6"/>
    <w:rsid w:val="00603F2D"/>
    <w:rsid w:val="006113C1"/>
    <w:rsid w:val="00633B8A"/>
    <w:rsid w:val="00651542"/>
    <w:rsid w:val="00675C62"/>
    <w:rsid w:val="00690EF9"/>
    <w:rsid w:val="006A7801"/>
    <w:rsid w:val="006F36B8"/>
    <w:rsid w:val="006F517D"/>
    <w:rsid w:val="00736038"/>
    <w:rsid w:val="007668BF"/>
    <w:rsid w:val="007A4132"/>
    <w:rsid w:val="007D28A1"/>
    <w:rsid w:val="0080189A"/>
    <w:rsid w:val="00812BCC"/>
    <w:rsid w:val="00863AF0"/>
    <w:rsid w:val="00885E60"/>
    <w:rsid w:val="008A7C1A"/>
    <w:rsid w:val="008D59CF"/>
    <w:rsid w:val="0090541B"/>
    <w:rsid w:val="00952976"/>
    <w:rsid w:val="00991631"/>
    <w:rsid w:val="00995A68"/>
    <w:rsid w:val="009B7954"/>
    <w:rsid w:val="009C5AA7"/>
    <w:rsid w:val="009E12D1"/>
    <w:rsid w:val="00A42B11"/>
    <w:rsid w:val="00A54672"/>
    <w:rsid w:val="00A76FDA"/>
    <w:rsid w:val="00A80AFE"/>
    <w:rsid w:val="00A829E3"/>
    <w:rsid w:val="00AB4F82"/>
    <w:rsid w:val="00B032BD"/>
    <w:rsid w:val="00B24AD6"/>
    <w:rsid w:val="00B6771F"/>
    <w:rsid w:val="00B7042D"/>
    <w:rsid w:val="00BA130D"/>
    <w:rsid w:val="00BB3FEE"/>
    <w:rsid w:val="00BD2F63"/>
    <w:rsid w:val="00C04356"/>
    <w:rsid w:val="00C12F47"/>
    <w:rsid w:val="00C45292"/>
    <w:rsid w:val="00C73E0C"/>
    <w:rsid w:val="00CA01E1"/>
    <w:rsid w:val="00CF404D"/>
    <w:rsid w:val="00D419CB"/>
    <w:rsid w:val="00D512FB"/>
    <w:rsid w:val="00D531C2"/>
    <w:rsid w:val="00D569F7"/>
    <w:rsid w:val="00D624E9"/>
    <w:rsid w:val="00D631A9"/>
    <w:rsid w:val="00D95D46"/>
    <w:rsid w:val="00DB67AF"/>
    <w:rsid w:val="00DE4A67"/>
    <w:rsid w:val="00E07C59"/>
    <w:rsid w:val="00E2432E"/>
    <w:rsid w:val="00E279A4"/>
    <w:rsid w:val="00E51863"/>
    <w:rsid w:val="00E611A7"/>
    <w:rsid w:val="00E8595F"/>
    <w:rsid w:val="00F51202"/>
    <w:rsid w:val="00F61D31"/>
    <w:rsid w:val="00F700C8"/>
    <w:rsid w:val="00FA5704"/>
    <w:rsid w:val="29DE1ADF"/>
    <w:rsid w:val="6EAE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9"/>
    <w:qFormat/>
    <w:uiPriority w:val="9"/>
    <w:pPr>
      <w:keepNext/>
      <w:keepLines/>
      <w:numPr>
        <w:ilvl w:val="0"/>
        <w:numId w:val="1"/>
      </w:numPr>
      <w:spacing w:before="340" w:after="330" w:line="578" w:lineRule="auto"/>
      <w:ind w:left="420" w:hanging="420"/>
      <w:outlineLvl w:val="0"/>
    </w:pPr>
    <w:rPr>
      <w:rFonts w:ascii="宋体" w:hAnsi="宋体"/>
      <w:b/>
      <w:bCs/>
      <w:kern w:val="44"/>
      <w:sz w:val="30"/>
      <w:szCs w:val="30"/>
    </w:rPr>
  </w:style>
  <w:style w:type="paragraph" w:styleId="3">
    <w:name w:val="heading 3"/>
    <w:basedOn w:val="1"/>
    <w:next w:val="1"/>
    <w:link w:val="20"/>
    <w:unhideWhenUsed/>
    <w:qFormat/>
    <w:uiPriority w:val="9"/>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25"/>
    <w:semiHidden/>
    <w:unhideWhenUsed/>
    <w:qFormat/>
    <w:uiPriority w:val="99"/>
    <w:pPr>
      <w:jc w:val="left"/>
    </w:pPr>
  </w:style>
  <w:style w:type="paragraph" w:styleId="6">
    <w:name w:val="Body Text Indent"/>
    <w:basedOn w:val="1"/>
    <w:qFormat/>
    <w:uiPriority w:val="0"/>
    <w:pPr>
      <w:spacing w:line="300" w:lineRule="exact"/>
      <w:ind w:firstLine="360"/>
    </w:pPr>
    <w:rPr>
      <w:sz w:val="18"/>
    </w:rPr>
  </w:style>
  <w:style w:type="paragraph" w:styleId="7">
    <w:name w:val="Date"/>
    <w:basedOn w:val="1"/>
    <w:next w:val="1"/>
    <w:link w:val="28"/>
    <w:uiPriority w:val="0"/>
    <w:pPr>
      <w:ind w:left="100" w:leftChars="2500"/>
    </w:pPr>
    <w:rPr>
      <w:rFonts w:ascii="Times New Roman" w:hAnsi="Times New Roman" w:cs="Times New Roman"/>
      <w:sz w:val="21"/>
      <w:szCs w:val="24"/>
    </w:r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left" w:pos="630"/>
        <w:tab w:val="right" w:leader="dot" w:pos="8296"/>
      </w:tabs>
    </w:pPr>
  </w:style>
  <w:style w:type="paragraph" w:styleId="12">
    <w:name w:val="annotation subject"/>
    <w:basedOn w:val="5"/>
    <w:next w:val="5"/>
    <w:link w:val="26"/>
    <w:semiHidden/>
    <w:unhideWhenUsed/>
    <w:qFormat/>
    <w:uiPriority w:val="99"/>
    <w:rPr>
      <w:b/>
      <w:bCs/>
    </w:rPr>
  </w:style>
  <w:style w:type="character" w:styleId="15">
    <w:name w:val="Strong"/>
    <w:qFormat/>
    <w:uiPriority w:val="0"/>
    <w:rPr>
      <w:b/>
      <w:bCs/>
    </w:rPr>
  </w:style>
  <w:style w:type="character" w:styleId="16">
    <w:name w:val="FollowedHyperlink"/>
    <w:basedOn w:val="14"/>
    <w:semiHidden/>
    <w:unhideWhenUsed/>
    <w:uiPriority w:val="99"/>
    <w:rPr>
      <w:color w:val="954F72" w:themeColor="followedHyperlink"/>
      <w:u w:val="single"/>
      <w14:textFill>
        <w14:solidFill>
          <w14:schemeClr w14:val="folHlink"/>
        </w14:solidFill>
      </w14:textFill>
    </w:rPr>
  </w:style>
  <w:style w:type="character" w:styleId="17">
    <w:name w:val="Hyperlink"/>
    <w:basedOn w:val="14"/>
    <w:unhideWhenUsed/>
    <w:uiPriority w:val="99"/>
    <w:rPr>
      <w:color w:val="0563C1"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标题 1 字符"/>
    <w:basedOn w:val="14"/>
    <w:link w:val="2"/>
    <w:uiPriority w:val="9"/>
    <w:rPr>
      <w:rFonts w:ascii="宋体" w:hAnsi="宋体" w:eastAsia="宋体"/>
      <w:b/>
      <w:bCs/>
      <w:kern w:val="44"/>
      <w:sz w:val="30"/>
      <w:szCs w:val="30"/>
    </w:rPr>
  </w:style>
  <w:style w:type="character" w:customStyle="1" w:styleId="20">
    <w:name w:val="标题 3 字符"/>
    <w:basedOn w:val="14"/>
    <w:link w:val="3"/>
    <w:uiPriority w:val="9"/>
    <w:rPr>
      <w:rFonts w:eastAsia="宋体"/>
      <w:b/>
      <w:bCs/>
      <w:sz w:val="28"/>
      <w:szCs w:val="32"/>
    </w:rPr>
  </w:style>
  <w:style w:type="paragraph" w:styleId="21">
    <w:name w:val="List Paragraph"/>
    <w:basedOn w:val="1"/>
    <w:qFormat/>
    <w:uiPriority w:val="34"/>
    <w:pPr>
      <w:ind w:firstLine="420" w:firstLineChars="200"/>
    </w:pPr>
  </w:style>
  <w:style w:type="character" w:customStyle="1" w:styleId="22">
    <w:name w:val="页眉 字符"/>
    <w:basedOn w:val="14"/>
    <w:link w:val="10"/>
    <w:uiPriority w:val="99"/>
    <w:rPr>
      <w:rFonts w:eastAsia="宋体"/>
      <w:sz w:val="18"/>
      <w:szCs w:val="18"/>
    </w:rPr>
  </w:style>
  <w:style w:type="character" w:customStyle="1" w:styleId="23">
    <w:name w:val="页脚 字符"/>
    <w:basedOn w:val="14"/>
    <w:link w:val="9"/>
    <w:uiPriority w:val="99"/>
    <w:rPr>
      <w:rFonts w:eastAsia="宋体"/>
      <w:sz w:val="18"/>
      <w:szCs w:val="18"/>
    </w:rPr>
  </w:style>
  <w:style w:type="character" w:customStyle="1" w:styleId="24">
    <w:name w:val="批注框文本 字符"/>
    <w:basedOn w:val="14"/>
    <w:link w:val="8"/>
    <w:semiHidden/>
    <w:qFormat/>
    <w:uiPriority w:val="99"/>
    <w:rPr>
      <w:rFonts w:eastAsia="宋体"/>
      <w:sz w:val="18"/>
      <w:szCs w:val="18"/>
    </w:rPr>
  </w:style>
  <w:style w:type="character" w:customStyle="1" w:styleId="25">
    <w:name w:val="批注文字 字符"/>
    <w:basedOn w:val="14"/>
    <w:link w:val="5"/>
    <w:semiHidden/>
    <w:uiPriority w:val="99"/>
    <w:rPr>
      <w:rFonts w:eastAsia="宋体"/>
      <w:sz w:val="28"/>
    </w:rPr>
  </w:style>
  <w:style w:type="character" w:customStyle="1" w:styleId="26">
    <w:name w:val="批注主题 字符"/>
    <w:basedOn w:val="25"/>
    <w:link w:val="12"/>
    <w:semiHidden/>
    <w:uiPriority w:val="99"/>
    <w:rPr>
      <w:rFonts w:eastAsia="宋体"/>
      <w:b/>
      <w:bCs/>
      <w:sz w:val="28"/>
    </w:rPr>
  </w:style>
  <w:style w:type="paragraph" w:customStyle="1" w:styleId="27">
    <w:name w:val="style1"/>
    <w:basedOn w:val="1"/>
    <w:uiPriority w:val="0"/>
    <w:pPr>
      <w:widowControl/>
      <w:suppressAutoHyphens/>
      <w:spacing w:before="280" w:after="280"/>
      <w:jc w:val="left"/>
    </w:pPr>
    <w:rPr>
      <w:rFonts w:ascii="华文新魏" w:hAnsi="华文新魏" w:eastAsia="华文新魏" w:cs="Arial Unicode MS"/>
      <w:color w:val="FF0000"/>
      <w:kern w:val="1"/>
      <w:sz w:val="72"/>
      <w:szCs w:val="72"/>
      <w:lang w:eastAsia="ar-SA"/>
    </w:rPr>
  </w:style>
  <w:style w:type="character" w:customStyle="1" w:styleId="28">
    <w:name w:val="日期 字符"/>
    <w:basedOn w:val="14"/>
    <w:link w:val="7"/>
    <w:uiPriority w:val="0"/>
    <w:rPr>
      <w:rFonts w:ascii="Times New Roman" w:hAnsi="Times New Roman" w:eastAsia="宋体" w:cs="Times New Roman"/>
      <w:szCs w:val="24"/>
    </w:rPr>
  </w:style>
  <w:style w:type="paragraph" w:customStyle="1" w:styleId="29">
    <w:name w:val="稿件名称"/>
    <w:basedOn w:val="1"/>
    <w:qFormat/>
    <w:uiPriority w:val="0"/>
    <w:pPr>
      <w:jc w:val="center"/>
    </w:pPr>
    <w:rPr>
      <w:rFonts w:hAnsi="宋体" w:eastAsia="黑体"/>
      <w:kern w:val="0"/>
      <w:sz w:val="36"/>
      <w:szCs w:val="36"/>
    </w:rPr>
  </w:style>
  <w:style w:type="paragraph" w:customStyle="1" w:styleId="30">
    <w:name w:val="作者名称"/>
    <w:basedOn w:val="1"/>
    <w:link w:val="32"/>
    <w:qFormat/>
    <w:uiPriority w:val="0"/>
    <w:pPr>
      <w:jc w:val="center"/>
    </w:pPr>
    <w:rPr>
      <w:rFonts w:hAnsi="宋体" w:eastAsia="楷体_GB2312"/>
      <w:color w:val="000000"/>
      <w:kern w:val="0"/>
      <w:sz w:val="24"/>
      <w:szCs w:val="21"/>
    </w:rPr>
  </w:style>
  <w:style w:type="paragraph" w:customStyle="1" w:styleId="31">
    <w:name w:val="单位"/>
    <w:basedOn w:val="30"/>
    <w:link w:val="33"/>
    <w:qFormat/>
    <w:uiPriority w:val="0"/>
    <w:rPr>
      <w:sz w:val="21"/>
    </w:rPr>
  </w:style>
  <w:style w:type="character" w:customStyle="1" w:styleId="32">
    <w:name w:val="作者名称 Char"/>
    <w:basedOn w:val="14"/>
    <w:link w:val="30"/>
    <w:uiPriority w:val="0"/>
    <w:rPr>
      <w:rFonts w:hAnsi="宋体" w:eastAsia="楷体_GB2312"/>
      <w:color w:val="000000"/>
      <w:sz w:val="24"/>
      <w:szCs w:val="21"/>
    </w:rPr>
  </w:style>
  <w:style w:type="character" w:customStyle="1" w:styleId="33">
    <w:name w:val="单位 Char"/>
    <w:basedOn w:val="32"/>
    <w:link w:val="31"/>
    <w:uiPriority w:val="0"/>
    <w:rPr>
      <w:rFonts w:hAnsi="宋体" w:eastAsia="楷体_GB2312"/>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1145</Words>
  <Characters>6529</Characters>
  <Lines>54</Lines>
  <Paragraphs>15</Paragraphs>
  <TotalTime>135</TotalTime>
  <ScaleCrop>false</ScaleCrop>
  <LinksUpToDate>false</LinksUpToDate>
  <CharactersWithSpaces>7659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2020-03-11T01:38:00Z</dcterms:created>
  <dc:creator>zyyao</dc:creator>
  <cp:lastModifiedBy>Administrator</cp:lastModifiedBy>
  <cp:lastPrinted>2020-03-13T02:59:00Z</cp:lastPrinted>
  <dcterms:modified xsi:type="dcterms:W3CDTF">2021-04-30T08:24:37Z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F1B35DD427514991BCB6FDE42F5CAF6F</vt:lpwstr>
  </property>
</Properties>
</file>